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66E9" w14:textId="77777777" w:rsidR="003F560D" w:rsidRDefault="003F560D" w:rsidP="00482177">
      <w:pPr>
        <w:pStyle w:val="Heading1"/>
        <w:numPr>
          <w:ilvl w:val="0"/>
          <w:numId w:val="2"/>
        </w:numPr>
        <w:spacing w:before="120" w:after="24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Description of Area Covered by the Strategy</w:t>
      </w:r>
    </w:p>
    <w:p w14:paraId="6A9AC764" w14:textId="77777777" w:rsidR="003F560D" w:rsidRDefault="00B11D37" w:rsidP="00E35743">
      <w:pPr>
        <w:spacing w:after="120" w:line="240" w:lineRule="auto"/>
      </w:pPr>
      <w:r>
        <w:t>Map</w:t>
      </w:r>
      <w:r w:rsidR="003F560D">
        <w:t xml:space="preserve"> 1 shows the location of </w:t>
      </w:r>
      <w:proofErr w:type="spellStart"/>
      <w:r w:rsidR="003F560D">
        <w:t>Bulkley</w:t>
      </w:r>
      <w:proofErr w:type="spellEnd"/>
      <w:r w:rsidR="003F560D">
        <w:t xml:space="preserve">, Kispiox and </w:t>
      </w:r>
      <w:proofErr w:type="spellStart"/>
      <w:r w:rsidR="003F560D">
        <w:t>Cassiar</w:t>
      </w:r>
      <w:proofErr w:type="spellEnd"/>
      <w:r w:rsidR="003F560D">
        <w:t xml:space="preserve"> Timber Supply Areas within British Columbia</w:t>
      </w:r>
      <w:r w:rsidR="00E75CF4">
        <w:t xml:space="preserve">, and the extent of their timber harvesting </w:t>
      </w:r>
      <w:proofErr w:type="spellStart"/>
      <w:r w:rsidR="00E75CF4">
        <w:t>landbases</w:t>
      </w:r>
      <w:proofErr w:type="spellEnd"/>
      <w:r>
        <w:t xml:space="preserve"> (</w:t>
      </w:r>
      <w:r w:rsidR="006F4CB1">
        <w:t>THLB)</w:t>
      </w:r>
      <w:r w:rsidR="003F560D">
        <w:t>.</w:t>
      </w:r>
      <w:r w:rsidR="006F4CB1">
        <w:t xml:space="preserve"> </w:t>
      </w:r>
    </w:p>
    <w:p w14:paraId="4EE043DC" w14:textId="77777777" w:rsidR="00B11D37" w:rsidRDefault="00E63824">
      <w:r>
        <w:rPr>
          <w:noProof/>
          <w:lang w:eastAsia="en-CA"/>
        </w:rPr>
        <w:drawing>
          <wp:inline distT="0" distB="0" distL="0" distR="0" wp14:anchorId="10F46F6A" wp14:editId="0C62F8DF">
            <wp:extent cx="5943600" cy="38455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As_THL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8246B" w14:textId="00764DDC" w:rsidR="00796CFC" w:rsidRDefault="00E456B8" w:rsidP="003F560D">
      <w:pPr>
        <w:pStyle w:val="NormalWeb"/>
        <w:spacing w:before="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</w:t>
      </w:r>
      <w:proofErr w:type="gramStart"/>
      <w:r>
        <w:rPr>
          <w:rFonts w:asciiTheme="minorHAnsi" w:hAnsiTheme="minorHAnsi" w:cstheme="minorHAnsi"/>
          <w:sz w:val="22"/>
          <w:szCs w:val="22"/>
        </w:rPr>
        <w:t>7</w:t>
      </w:r>
      <w:r w:rsidR="00977D5D">
        <w:rPr>
          <w:rFonts w:asciiTheme="minorHAnsi" w:hAnsiTheme="minorHAnsi" w:cstheme="minorHAnsi"/>
          <w:sz w:val="22"/>
          <w:szCs w:val="22"/>
        </w:rPr>
        <w:t>63</w:t>
      </w:r>
      <w:r>
        <w:rPr>
          <w:rFonts w:asciiTheme="minorHAnsi" w:hAnsiTheme="minorHAnsi" w:cstheme="minorHAnsi"/>
          <w:sz w:val="22"/>
          <w:szCs w:val="22"/>
        </w:rPr>
        <w:t xml:space="preserve">,000 </w:t>
      </w:r>
      <w:r w:rsidR="00482177">
        <w:rPr>
          <w:rFonts w:asciiTheme="minorHAnsi" w:hAnsiTheme="minorHAnsi" w:cstheme="minorHAnsi"/>
          <w:sz w:val="22"/>
          <w:szCs w:val="22"/>
        </w:rPr>
        <w:t>hectare</w:t>
      </w:r>
      <w:proofErr w:type="gramEnd"/>
      <w:r w:rsidR="00482177">
        <w:rPr>
          <w:rFonts w:asciiTheme="minorHAnsi" w:hAnsiTheme="minorHAnsi" w:cstheme="minorHAnsi"/>
          <w:sz w:val="22"/>
          <w:szCs w:val="22"/>
        </w:rPr>
        <w:t xml:space="preserve"> (Ha)</w:t>
      </w:r>
      <w:r w:rsidR="00E75CF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F560D" w:rsidRPr="00E35743">
        <w:rPr>
          <w:rFonts w:asciiTheme="minorHAnsi" w:hAnsiTheme="minorHAnsi" w:cstheme="minorHAnsi"/>
          <w:b/>
          <w:sz w:val="22"/>
          <w:szCs w:val="22"/>
          <w:u w:val="single"/>
        </w:rPr>
        <w:t>Bulkley</w:t>
      </w:r>
      <w:proofErr w:type="spellEnd"/>
      <w:r w:rsidR="003F560D" w:rsidRPr="00E35743">
        <w:rPr>
          <w:rFonts w:asciiTheme="minorHAnsi" w:hAnsiTheme="minorHAnsi" w:cstheme="minorHAnsi"/>
          <w:b/>
          <w:sz w:val="22"/>
          <w:szCs w:val="22"/>
          <w:u w:val="single"/>
        </w:rPr>
        <w:t xml:space="preserve"> Timber Supply Area</w:t>
      </w:r>
      <w:r w:rsidR="003F560D" w:rsidRPr="00E35743">
        <w:rPr>
          <w:rFonts w:asciiTheme="minorHAnsi" w:hAnsiTheme="minorHAnsi" w:cstheme="minorHAnsi"/>
          <w:sz w:val="22"/>
          <w:szCs w:val="22"/>
        </w:rPr>
        <w:t xml:space="preserve"> (TSA) </w:t>
      </w:r>
      <w:r w:rsidR="003F560D"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transitions coastal and interior climates and is ecologically diverse. </w:t>
      </w:r>
      <w:r w:rsidR="003F560D">
        <w:rPr>
          <w:rFonts w:asciiTheme="minorHAnsi" w:hAnsiTheme="minorHAnsi" w:cstheme="minorHAnsi"/>
          <w:color w:val="000000" w:themeColor="text1"/>
          <w:sz w:val="22"/>
          <w:szCs w:val="22"/>
        </w:rPr>
        <w:t>Topography ranges from flat or rolling to mountainous.</w:t>
      </w:r>
      <w:r w:rsidR="00D66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Major rivers include </w:t>
      </w:r>
      <w:r w:rsidR="00F047A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</w:t>
      </w:r>
      <w:proofErr w:type="spellStart"/>
      <w:r w:rsidR="00D66123">
        <w:rPr>
          <w:rFonts w:asciiTheme="minorHAnsi" w:hAnsiTheme="minorHAnsi" w:cstheme="minorHAnsi"/>
          <w:color w:val="000000" w:themeColor="text1"/>
          <w:sz w:val="22"/>
          <w:szCs w:val="22"/>
        </w:rPr>
        <w:t>Bulkley</w:t>
      </w:r>
      <w:proofErr w:type="spellEnd"/>
      <w:r w:rsidR="00D66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Babine</w:t>
      </w:r>
      <w:r w:rsidR="006F4CB1">
        <w:rPr>
          <w:rFonts w:asciiTheme="minorHAnsi" w:hAnsiTheme="minorHAnsi" w:cstheme="minorHAnsi"/>
          <w:color w:val="000000" w:themeColor="text1"/>
          <w:sz w:val="22"/>
          <w:szCs w:val="22"/>
        </w:rPr>
        <w:t>, and Babine Lake is to the east</w:t>
      </w:r>
      <w:r w:rsidR="00D6612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3B9DA03" w14:textId="77777777" w:rsidR="003F560D" w:rsidRDefault="003F560D" w:rsidP="003F560D">
      <w:pPr>
        <w:pStyle w:val="NormalWeb"/>
        <w:spacing w:before="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>Sub-Boreal Spruce (SBSmc2, dk) and Engelmann Spruce-Subalpine Fir (</w:t>
      </w:r>
      <w:proofErr w:type="spellStart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>ESSFmc</w:t>
      </w:r>
      <w:proofErr w:type="spellEnd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>wv</w:t>
      </w:r>
      <w:proofErr w:type="spellEnd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proofErr w:type="spellStart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>biogeoclimatic</w:t>
      </w:r>
      <w:proofErr w:type="spellEnd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zones dominate. Small areas of Interior Cedar-Hemlock (ICHmc2), Coastal Western Hemlock (CWHws2), and Mountain Hemlock (</w:t>
      </w:r>
      <w:proofErr w:type="spellStart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>MHmm</w:t>
      </w:r>
      <w:proofErr w:type="spellEnd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proofErr w:type="spellStart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>biogeoclimatic</w:t>
      </w:r>
      <w:proofErr w:type="spellEnd"/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zones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are</w:t>
      </w:r>
      <w:r w:rsidRPr="003F56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also present. </w:t>
      </w:r>
    </w:p>
    <w:p w14:paraId="4BED8752" w14:textId="77777777" w:rsidR="003F560D" w:rsidRPr="00482177" w:rsidRDefault="00482177" w:rsidP="003F560D">
      <w:pPr>
        <w:pStyle w:val="NormalWeb"/>
        <w:spacing w:before="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he CFLB (500,000 H</w:t>
      </w:r>
      <w:r w:rsidR="00E456B8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and the THLB (283,500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H</w:t>
      </w:r>
      <w:r w:rsidR="00F047AD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a) </w:t>
      </w:r>
      <w:r w:rsidR="003F560D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>are</w:t>
      </w:r>
      <w:r w:rsidR="00D66123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047AD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dominated by </w:t>
      </w:r>
      <w:r w:rsidR="00D66123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subalpine fir, lodgepole pine, spruce, </w:t>
      </w:r>
      <w:r w:rsidR="003F560D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D66123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>nd western and mountain hemlock.</w:t>
      </w:r>
      <w:r w:rsidR="00E75CF4" w:rsidRPr="0048217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482177">
        <w:rPr>
          <w:rFonts w:asciiTheme="minorHAnsi" w:hAnsiTheme="minorHAnsi" w:cstheme="minorHAnsi"/>
          <w:sz w:val="22"/>
          <w:szCs w:val="22"/>
        </w:rPr>
        <w:t xml:space="preserve">Natural stands are mostly older than 100 years, and managed stands are under 45 years. </w:t>
      </w:r>
    </w:p>
    <w:p w14:paraId="726D33A5" w14:textId="77777777" w:rsidR="00E456B8" w:rsidRDefault="00CA244C" w:rsidP="003F560D">
      <w:pPr>
        <w:pStyle w:val="NormalWeb"/>
        <w:spacing w:before="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4BF241CD" wp14:editId="27D3378E">
            <wp:extent cx="3098800" cy="1568768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09809" cy="157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56B8">
        <w:rPr>
          <w:noProof/>
        </w:rPr>
        <w:drawing>
          <wp:inline distT="0" distB="0" distL="0" distR="0" wp14:anchorId="6D071382" wp14:editId="438442A9">
            <wp:extent cx="2810933" cy="157154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0933" cy="157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33F7E" w14:textId="77777777" w:rsidR="003F560D" w:rsidRPr="00ED22F7" w:rsidRDefault="00482177" w:rsidP="003F560D">
      <w:pPr>
        <w:pStyle w:val="NormalWeb"/>
        <w:spacing w:before="0" w:beforeAutospacing="0" w:after="120" w:afterAutospacing="0"/>
        <w:rPr>
          <w:rFonts w:ascii="Calibri" w:hAnsi="Calibri" w:cs="Arial"/>
          <w:color w:val="000000" w:themeColor="text1"/>
          <w:sz w:val="22"/>
          <w:szCs w:val="22"/>
        </w:rPr>
      </w:pPr>
      <w:r>
        <w:rPr>
          <w:rFonts w:ascii="Calibri" w:hAnsi="Calibri" w:cs="Arial"/>
          <w:color w:val="000000" w:themeColor="text1"/>
          <w:sz w:val="22"/>
          <w:szCs w:val="22"/>
        </w:rPr>
        <w:lastRenderedPageBreak/>
        <w:t>The 1.22 million H</w:t>
      </w:r>
      <w:r w:rsidR="00E75CF4">
        <w:rPr>
          <w:rFonts w:ascii="Calibri" w:hAnsi="Calibri" w:cs="Arial"/>
          <w:color w:val="000000" w:themeColor="text1"/>
          <w:sz w:val="22"/>
          <w:szCs w:val="22"/>
        </w:rPr>
        <w:t xml:space="preserve">a </w:t>
      </w:r>
      <w:r w:rsidR="003F560D" w:rsidRPr="00E35743">
        <w:rPr>
          <w:rFonts w:ascii="Calibri" w:hAnsi="Calibri" w:cs="Arial"/>
          <w:b/>
          <w:color w:val="000000" w:themeColor="text1"/>
          <w:sz w:val="22"/>
          <w:szCs w:val="22"/>
          <w:u w:val="single"/>
        </w:rPr>
        <w:t>Kispiox TSA</w:t>
      </w:r>
      <w:r w:rsidR="003F560D" w:rsidRPr="00ED22F7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r w:rsidR="00D66123">
        <w:rPr>
          <w:rFonts w:ascii="Calibri" w:hAnsi="Calibri" w:cs="Arial"/>
          <w:color w:val="000000" w:themeColor="text1"/>
          <w:sz w:val="22"/>
          <w:szCs w:val="22"/>
        </w:rPr>
        <w:t>also transitions</w:t>
      </w:r>
      <w:r w:rsidR="003F560D" w:rsidRPr="00ED22F7">
        <w:rPr>
          <w:rFonts w:ascii="Calibri" w:hAnsi="Calibri" w:cs="Arial"/>
          <w:color w:val="000000" w:themeColor="text1"/>
          <w:sz w:val="22"/>
          <w:szCs w:val="22"/>
        </w:rPr>
        <w:t xml:space="preserve"> coastal and interior clim</w:t>
      </w:r>
      <w:r w:rsidR="003F560D">
        <w:rPr>
          <w:rFonts w:ascii="Calibri" w:hAnsi="Calibri" w:cs="Arial"/>
          <w:color w:val="000000" w:themeColor="text1"/>
          <w:sz w:val="22"/>
          <w:szCs w:val="22"/>
        </w:rPr>
        <w:t>ates</w:t>
      </w:r>
      <w:r w:rsidR="003F560D" w:rsidRPr="00ED22F7">
        <w:rPr>
          <w:rFonts w:ascii="Calibri" w:hAnsi="Calibri" w:cs="Arial"/>
          <w:color w:val="000000" w:themeColor="text1"/>
          <w:sz w:val="22"/>
          <w:szCs w:val="22"/>
        </w:rPr>
        <w:t xml:space="preserve">. </w:t>
      </w:r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 xml:space="preserve">Topography is mountainous, with a mix of wide and narrow forested drainages between ranges. Major rivers include the Skeena, </w:t>
      </w:r>
      <w:proofErr w:type="spellStart"/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>Bulkley</w:t>
      </w:r>
      <w:proofErr w:type="spellEnd"/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 xml:space="preserve">, Babine, and Kispiox. The confluence of the Skeena and </w:t>
      </w:r>
      <w:proofErr w:type="spellStart"/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>Bulkley</w:t>
      </w:r>
      <w:proofErr w:type="spellEnd"/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 xml:space="preserve"> rivers occurs near the </w:t>
      </w:r>
      <w:proofErr w:type="spellStart"/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>Hazeltons</w:t>
      </w:r>
      <w:proofErr w:type="spellEnd"/>
      <w:r w:rsidR="003F560D" w:rsidRPr="00ED22F7">
        <w:rPr>
          <w:rFonts w:ascii="Calibri" w:hAnsi="Calibri" w:cs="Arial"/>
          <w:color w:val="000000" w:themeColor="text1"/>
          <w:sz w:val="22"/>
          <w:szCs w:val="22"/>
          <w:lang w:val="en-US"/>
        </w:rPr>
        <w:t xml:space="preserve">.  </w:t>
      </w:r>
    </w:p>
    <w:p w14:paraId="1487BD09" w14:textId="77777777" w:rsidR="00D66123" w:rsidRDefault="003F560D" w:rsidP="003F560D">
      <w:pPr>
        <w:pStyle w:val="NormalWeb"/>
        <w:spacing w:before="0" w:beforeAutospacing="0" w:after="120" w:afterAutospacing="0"/>
        <w:rPr>
          <w:rFonts w:ascii="Calibri" w:hAnsi="Calibri" w:cs="Arial"/>
          <w:color w:val="000000" w:themeColor="text1"/>
          <w:sz w:val="22"/>
          <w:szCs w:val="22"/>
        </w:rPr>
      </w:pPr>
      <w:r w:rsidRPr="00ED22F7">
        <w:rPr>
          <w:rFonts w:ascii="Calibri" w:hAnsi="Calibri" w:cs="Arial"/>
          <w:color w:val="000000" w:themeColor="text1"/>
          <w:sz w:val="22"/>
          <w:szCs w:val="22"/>
        </w:rPr>
        <w:t>Engelmann Spruce-Subalpine Fir (</w:t>
      </w:r>
      <w:proofErr w:type="spellStart"/>
      <w:r w:rsidRPr="00ED22F7">
        <w:rPr>
          <w:rFonts w:ascii="Calibri" w:hAnsi="Calibri" w:cs="Arial"/>
          <w:color w:val="000000" w:themeColor="text1"/>
          <w:sz w:val="22"/>
          <w:szCs w:val="22"/>
        </w:rPr>
        <w:t>ESSFwv</w:t>
      </w:r>
      <w:proofErr w:type="spellEnd"/>
      <w:r w:rsidRPr="00ED22F7">
        <w:rPr>
          <w:rFonts w:ascii="Calibri" w:hAnsi="Calibri" w:cs="Arial"/>
          <w:color w:val="000000" w:themeColor="text1"/>
          <w:sz w:val="22"/>
          <w:szCs w:val="22"/>
        </w:rPr>
        <w:t xml:space="preserve">), Interior Cedar-Hemlock (ICHmc1, mc2), Coastal Western Hemlock (CWHws2), and Sub-Boreal Spruce (SBSmc2) </w:t>
      </w:r>
      <w:proofErr w:type="spellStart"/>
      <w:r w:rsidRPr="00ED22F7">
        <w:rPr>
          <w:rFonts w:ascii="Calibri" w:hAnsi="Calibri" w:cs="Arial"/>
          <w:color w:val="000000" w:themeColor="text1"/>
          <w:sz w:val="22"/>
          <w:szCs w:val="22"/>
        </w:rPr>
        <w:t>biogeoclimatic</w:t>
      </w:r>
      <w:proofErr w:type="spellEnd"/>
      <w:r w:rsidRPr="00ED22F7">
        <w:rPr>
          <w:rFonts w:ascii="Calibri" w:hAnsi="Calibri" w:cs="Arial"/>
          <w:color w:val="000000" w:themeColor="text1"/>
          <w:sz w:val="22"/>
          <w:szCs w:val="22"/>
        </w:rPr>
        <w:t xml:space="preserve"> zones dominate. </w:t>
      </w:r>
    </w:p>
    <w:p w14:paraId="366BCA34" w14:textId="77777777" w:rsidR="00D43F6D" w:rsidRDefault="00F047AD" w:rsidP="003F560D">
      <w:pPr>
        <w:pStyle w:val="NormalWeb"/>
        <w:spacing w:before="0" w:beforeAutospacing="0" w:after="120" w:afterAutospacing="0"/>
        <w:rPr>
          <w:rFonts w:ascii="Calibri" w:hAnsi="Calibri" w:cs="Arial"/>
          <w:color w:val="000000" w:themeColor="text1"/>
          <w:sz w:val="22"/>
          <w:szCs w:val="22"/>
        </w:rPr>
      </w:pPr>
      <w:r>
        <w:rPr>
          <w:rFonts w:ascii="Calibri" w:hAnsi="Calibri" w:cs="Arial"/>
          <w:color w:val="000000" w:themeColor="text1"/>
          <w:sz w:val="22"/>
          <w:szCs w:val="22"/>
        </w:rPr>
        <w:t>Both the</w:t>
      </w:r>
      <w:r w:rsidR="00482177">
        <w:rPr>
          <w:rFonts w:ascii="Calibri" w:hAnsi="Calibri" w:cs="Arial"/>
          <w:color w:val="000000" w:themeColor="text1"/>
          <w:sz w:val="22"/>
          <w:szCs w:val="22"/>
        </w:rPr>
        <w:t xml:space="preserve"> CFLB (698,000 Ha) and the THLB (328,000 H</w:t>
      </w:r>
      <w:r>
        <w:rPr>
          <w:rFonts w:ascii="Calibri" w:hAnsi="Calibri" w:cs="Arial"/>
          <w:color w:val="000000" w:themeColor="text1"/>
          <w:sz w:val="22"/>
          <w:szCs w:val="22"/>
        </w:rPr>
        <w:t xml:space="preserve">a) </w:t>
      </w:r>
      <w:r w:rsidR="003F560D" w:rsidRPr="00ED22F7">
        <w:rPr>
          <w:rFonts w:ascii="Calibri" w:hAnsi="Calibri" w:cs="Arial"/>
          <w:color w:val="000000" w:themeColor="text1"/>
          <w:sz w:val="22"/>
          <w:szCs w:val="22"/>
        </w:rPr>
        <w:t>are dominated by hemlock and subalpine fir.  Spruce (Engelmann, white and hybrid), lodgepole pine, western redcedar, amabilis fir and cottonwood are present at lesser levels.</w:t>
      </w:r>
      <w:r w:rsidR="00D43F6D">
        <w:rPr>
          <w:rFonts w:ascii="Calibri" w:hAnsi="Calibri" w:cs="Arial"/>
          <w:color w:val="000000" w:themeColor="text1"/>
          <w:sz w:val="22"/>
          <w:szCs w:val="22"/>
        </w:rPr>
        <w:t xml:space="preserve"> CFLB age class distribution is heavily weighted to older age classes.</w:t>
      </w:r>
    </w:p>
    <w:p w14:paraId="6038EEC0" w14:textId="77777777" w:rsidR="00D66123" w:rsidRDefault="00D43F6D" w:rsidP="003F560D">
      <w:pPr>
        <w:pStyle w:val="NormalWeb"/>
        <w:spacing w:before="0" w:beforeAutospacing="0" w:after="120" w:afterAutospacing="0"/>
        <w:rPr>
          <w:rFonts w:ascii="Calibri" w:hAnsi="Calibri" w:cs="Arial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43FE1E8B" wp14:editId="06E68979">
            <wp:extent cx="2717800" cy="168090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7350" cy="168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C2EFE" w14:textId="77777777" w:rsidR="00D66123" w:rsidRDefault="00E75CF4" w:rsidP="00D66123">
      <w:pPr>
        <w:pStyle w:val="NormalWeb"/>
        <w:spacing w:before="0" w:beforeAutospacing="0" w:after="12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</w:t>
      </w:r>
      <w:r w:rsidRPr="00F047AD">
        <w:rPr>
          <w:rFonts w:asciiTheme="minorHAnsi" w:hAnsiTheme="minorHAnsi" w:cstheme="minorHAnsi"/>
          <w:sz w:val="22"/>
          <w:szCs w:val="22"/>
        </w:rPr>
        <w:t xml:space="preserve">13.1 million </w:t>
      </w:r>
      <w:r w:rsidR="00482177">
        <w:rPr>
          <w:rFonts w:asciiTheme="minorHAnsi" w:hAnsiTheme="minorHAnsi" w:cstheme="minorHAnsi"/>
          <w:sz w:val="22"/>
          <w:szCs w:val="22"/>
        </w:rPr>
        <w:t>Ha</w:t>
      </w:r>
      <w:r w:rsidRPr="00F047A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66123" w:rsidRPr="00E35743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Cassiar</w:t>
      </w:r>
      <w:proofErr w:type="spellEnd"/>
      <w:r w:rsidR="00D66123" w:rsidRPr="00E35743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 xml:space="preserve"> TSA</w:t>
      </w:r>
      <w:r w:rsidR="00D66123" w:rsidRPr="00F047A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</w:t>
      </w:r>
      <w:r w:rsidR="00D66123" w:rsidRPr="00F047AD">
        <w:rPr>
          <w:rFonts w:asciiTheme="minorHAnsi" w:hAnsiTheme="minorHAnsi" w:cstheme="minorHAnsi"/>
          <w:sz w:val="22"/>
          <w:szCs w:val="22"/>
        </w:rPr>
        <w:t>characterized by mountains and plateaus separated by wide valleys and lowlands. The western part of the TSA consists of rugged mountains dissected by major river valleys</w:t>
      </w:r>
      <w:r w:rsidR="00F047AD">
        <w:rPr>
          <w:rFonts w:asciiTheme="minorHAnsi" w:hAnsiTheme="minorHAnsi" w:cstheme="minorHAnsi"/>
          <w:sz w:val="22"/>
          <w:szCs w:val="22"/>
        </w:rPr>
        <w:t xml:space="preserve"> including the </w:t>
      </w:r>
      <w:proofErr w:type="spellStart"/>
      <w:r w:rsidR="00F047AD">
        <w:rPr>
          <w:rFonts w:asciiTheme="minorHAnsi" w:hAnsiTheme="minorHAnsi" w:cstheme="minorHAnsi"/>
          <w:sz w:val="22"/>
          <w:szCs w:val="22"/>
        </w:rPr>
        <w:t>Taku</w:t>
      </w:r>
      <w:proofErr w:type="spellEnd"/>
      <w:r w:rsidR="00F047A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F047AD">
        <w:rPr>
          <w:rFonts w:asciiTheme="minorHAnsi" w:hAnsiTheme="minorHAnsi" w:cstheme="minorHAnsi"/>
          <w:sz w:val="22"/>
          <w:szCs w:val="22"/>
        </w:rPr>
        <w:t>Tatshenshini</w:t>
      </w:r>
      <w:proofErr w:type="spellEnd"/>
      <w:r w:rsidR="00F047AD">
        <w:rPr>
          <w:rFonts w:asciiTheme="minorHAnsi" w:hAnsiTheme="minorHAnsi" w:cstheme="minorHAnsi"/>
          <w:sz w:val="22"/>
          <w:szCs w:val="22"/>
        </w:rPr>
        <w:t xml:space="preserve">, Stikine and </w:t>
      </w:r>
      <w:proofErr w:type="spellStart"/>
      <w:r w:rsidR="00F047AD">
        <w:rPr>
          <w:rFonts w:asciiTheme="minorHAnsi" w:hAnsiTheme="minorHAnsi" w:cstheme="minorHAnsi"/>
          <w:sz w:val="22"/>
          <w:szCs w:val="22"/>
        </w:rPr>
        <w:t>Iskut</w:t>
      </w:r>
      <w:proofErr w:type="spellEnd"/>
      <w:r w:rsidR="00F047AD">
        <w:rPr>
          <w:rFonts w:asciiTheme="minorHAnsi" w:hAnsiTheme="minorHAnsi" w:cstheme="minorHAnsi"/>
          <w:sz w:val="22"/>
          <w:szCs w:val="22"/>
        </w:rPr>
        <w:t xml:space="preserve"> Rivers</w:t>
      </w:r>
      <w:r w:rsidR="00D66123" w:rsidRPr="00F047A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11387AF" w14:textId="77777777" w:rsidR="003D231C" w:rsidRDefault="00E75CF4" w:rsidP="003D231C">
      <w:pPr>
        <w:pStyle w:val="NormalWeb"/>
        <w:spacing w:before="0" w:beforeAutospacing="0" w:after="120" w:afterAutospacing="0"/>
        <w:rPr>
          <w:rFonts w:ascii="Calibri" w:hAnsi="Calibri" w:cs="Arial"/>
          <w:color w:val="000000" w:themeColor="text1"/>
          <w:sz w:val="22"/>
          <w:szCs w:val="22"/>
        </w:rPr>
      </w:pPr>
      <w:r>
        <w:rPr>
          <w:rFonts w:ascii="Calibri" w:hAnsi="Calibri" w:cs="Arial"/>
          <w:color w:val="000000" w:themeColor="text1"/>
          <w:sz w:val="22"/>
          <w:szCs w:val="22"/>
        </w:rPr>
        <w:t xml:space="preserve">Boreal White &amp; Black Spruce (BWBS), Spruce-Willow-Birch (SWB), and </w:t>
      </w:r>
      <w:r w:rsidR="003D231C" w:rsidRPr="00ED22F7">
        <w:rPr>
          <w:rFonts w:ascii="Calibri" w:hAnsi="Calibri" w:cs="Arial"/>
          <w:color w:val="000000" w:themeColor="text1"/>
          <w:sz w:val="22"/>
          <w:szCs w:val="22"/>
        </w:rPr>
        <w:t>Engelm</w:t>
      </w:r>
      <w:r>
        <w:rPr>
          <w:rFonts w:ascii="Calibri" w:hAnsi="Calibri" w:cs="Arial"/>
          <w:color w:val="000000" w:themeColor="text1"/>
          <w:sz w:val="22"/>
          <w:szCs w:val="22"/>
        </w:rPr>
        <w:t>ann Spruce-Subalpine Fir (ESSF</w:t>
      </w:r>
      <w:r w:rsidR="003D231C" w:rsidRPr="00ED22F7">
        <w:rPr>
          <w:rFonts w:ascii="Calibri" w:hAnsi="Calibri" w:cs="Arial"/>
          <w:color w:val="000000" w:themeColor="text1"/>
          <w:sz w:val="22"/>
          <w:szCs w:val="22"/>
        </w:rPr>
        <w:t xml:space="preserve">) </w:t>
      </w:r>
      <w:proofErr w:type="spellStart"/>
      <w:r w:rsidR="003D231C" w:rsidRPr="00ED22F7">
        <w:rPr>
          <w:rFonts w:ascii="Calibri" w:hAnsi="Calibri" w:cs="Arial"/>
          <w:color w:val="000000" w:themeColor="text1"/>
          <w:sz w:val="22"/>
          <w:szCs w:val="22"/>
        </w:rPr>
        <w:t>biogeoclimatic</w:t>
      </w:r>
      <w:proofErr w:type="spellEnd"/>
      <w:r w:rsidR="00E35743">
        <w:rPr>
          <w:rFonts w:ascii="Calibri" w:hAnsi="Calibri" w:cs="Arial"/>
          <w:color w:val="000000" w:themeColor="text1"/>
          <w:sz w:val="22"/>
          <w:szCs w:val="22"/>
        </w:rPr>
        <w:t xml:space="preserve"> (BEC)</w:t>
      </w:r>
      <w:r w:rsidR="003D231C" w:rsidRPr="00ED22F7">
        <w:rPr>
          <w:rFonts w:ascii="Calibri" w:hAnsi="Calibri" w:cs="Arial"/>
          <w:color w:val="000000" w:themeColor="text1"/>
          <w:sz w:val="22"/>
          <w:szCs w:val="22"/>
        </w:rPr>
        <w:t xml:space="preserve"> zones dominate</w:t>
      </w:r>
      <w:r w:rsidR="00F14411">
        <w:rPr>
          <w:rFonts w:ascii="Calibri" w:hAnsi="Calibri" w:cs="Arial"/>
          <w:color w:val="000000" w:themeColor="text1"/>
          <w:sz w:val="22"/>
          <w:szCs w:val="22"/>
        </w:rPr>
        <w:t xml:space="preserve"> (53%, 29%, and 7%, respectively)</w:t>
      </w:r>
      <w:r w:rsidR="003D231C" w:rsidRPr="00ED22F7">
        <w:rPr>
          <w:rFonts w:ascii="Calibri" w:hAnsi="Calibri" w:cs="Arial"/>
          <w:color w:val="000000" w:themeColor="text1"/>
          <w:sz w:val="22"/>
          <w:szCs w:val="22"/>
        </w:rPr>
        <w:t xml:space="preserve">. </w:t>
      </w:r>
      <w:r w:rsidRPr="00ED22F7">
        <w:rPr>
          <w:rFonts w:ascii="Calibri" w:hAnsi="Calibri" w:cs="Arial"/>
          <w:color w:val="000000" w:themeColor="text1"/>
          <w:sz w:val="22"/>
          <w:szCs w:val="22"/>
        </w:rPr>
        <w:t>Int</w:t>
      </w:r>
      <w:r>
        <w:rPr>
          <w:rFonts w:ascii="Calibri" w:hAnsi="Calibri" w:cs="Arial"/>
          <w:color w:val="000000" w:themeColor="text1"/>
          <w:sz w:val="22"/>
          <w:szCs w:val="22"/>
        </w:rPr>
        <w:t>erior Cedar-Hemlock (ICH</w:t>
      </w:r>
      <w:r w:rsidRPr="00ED22F7">
        <w:rPr>
          <w:rFonts w:ascii="Calibri" w:hAnsi="Calibri" w:cs="Arial"/>
          <w:color w:val="000000" w:themeColor="text1"/>
          <w:sz w:val="22"/>
          <w:szCs w:val="22"/>
        </w:rPr>
        <w:t>),</w:t>
      </w:r>
      <w:r>
        <w:rPr>
          <w:rFonts w:ascii="Calibri" w:hAnsi="Calibri" w:cs="Arial"/>
          <w:color w:val="000000" w:themeColor="text1"/>
          <w:sz w:val="22"/>
          <w:szCs w:val="22"/>
        </w:rPr>
        <w:t xml:space="preserve"> Coastal Western Hemlock (CWH), and Sub-Boreal Spruce (SBS</w:t>
      </w:r>
      <w:r w:rsidRPr="00ED22F7">
        <w:rPr>
          <w:rFonts w:ascii="Calibri" w:hAnsi="Calibri" w:cs="Arial"/>
          <w:color w:val="000000" w:themeColor="text1"/>
          <w:sz w:val="22"/>
          <w:szCs w:val="22"/>
        </w:rPr>
        <w:t>)</w:t>
      </w:r>
      <w:r>
        <w:rPr>
          <w:rFonts w:ascii="Calibri" w:hAnsi="Calibri" w:cs="Arial"/>
          <w:color w:val="000000" w:themeColor="text1"/>
          <w:sz w:val="22"/>
          <w:szCs w:val="22"/>
        </w:rPr>
        <w:t xml:space="preserve"> zones are also present.</w:t>
      </w:r>
    </w:p>
    <w:p w14:paraId="7549345E" w14:textId="77777777" w:rsidR="00D66123" w:rsidRDefault="00D66123" w:rsidP="00D6612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F047AD">
        <w:rPr>
          <w:rFonts w:asciiTheme="minorHAnsi" w:hAnsiTheme="minorHAnsi" w:cstheme="minorHAnsi"/>
          <w:sz w:val="22"/>
          <w:szCs w:val="22"/>
        </w:rPr>
        <w:t>Approximately 81 percent of the TSA is non-forest (e.g., icefields), non-productive and non-commercial forests</w:t>
      </w:r>
      <w:r w:rsidR="00F047AD">
        <w:rPr>
          <w:rFonts w:asciiTheme="minorHAnsi" w:hAnsiTheme="minorHAnsi" w:cstheme="minorHAnsi"/>
          <w:sz w:val="22"/>
          <w:szCs w:val="22"/>
        </w:rPr>
        <w:t>, parks and ecological reserves</w:t>
      </w:r>
      <w:r w:rsidRPr="00F047AD">
        <w:rPr>
          <w:rFonts w:asciiTheme="minorHAnsi" w:hAnsiTheme="minorHAnsi" w:cstheme="minorHAnsi"/>
          <w:sz w:val="22"/>
          <w:szCs w:val="22"/>
        </w:rPr>
        <w:t xml:space="preserve">. </w:t>
      </w:r>
      <w:r w:rsidR="00F14411">
        <w:rPr>
          <w:rFonts w:asciiTheme="minorHAnsi" w:hAnsiTheme="minorHAnsi" w:cstheme="minorHAnsi"/>
          <w:sz w:val="22"/>
          <w:szCs w:val="22"/>
        </w:rPr>
        <w:t>Both t</w:t>
      </w:r>
      <w:r w:rsidRPr="00F047AD">
        <w:rPr>
          <w:rFonts w:asciiTheme="minorHAnsi" w:hAnsiTheme="minorHAnsi" w:cstheme="minorHAnsi"/>
          <w:sz w:val="22"/>
          <w:szCs w:val="22"/>
        </w:rPr>
        <w:t xml:space="preserve">he </w:t>
      </w:r>
      <w:r w:rsidR="003D231C">
        <w:rPr>
          <w:rFonts w:asciiTheme="minorHAnsi" w:hAnsiTheme="minorHAnsi" w:cstheme="minorHAnsi"/>
          <w:sz w:val="22"/>
          <w:szCs w:val="22"/>
        </w:rPr>
        <w:t>2.5 million hectare</w:t>
      </w:r>
      <w:r w:rsidRPr="00F047AD">
        <w:rPr>
          <w:rFonts w:asciiTheme="minorHAnsi" w:hAnsiTheme="minorHAnsi" w:cstheme="minorHAnsi"/>
          <w:sz w:val="22"/>
          <w:szCs w:val="22"/>
        </w:rPr>
        <w:t xml:space="preserve"> </w:t>
      </w:r>
      <w:r w:rsidR="00F14411">
        <w:rPr>
          <w:rFonts w:asciiTheme="minorHAnsi" w:hAnsiTheme="minorHAnsi" w:cstheme="minorHAnsi"/>
          <w:sz w:val="22"/>
          <w:szCs w:val="22"/>
        </w:rPr>
        <w:t>CFLB and the 210,680 hectare THLB are dominated by pine and spruce, with subalpine fir additionally dominant in the CFLB.</w:t>
      </w:r>
      <w:r w:rsidR="00E35743">
        <w:rPr>
          <w:rFonts w:asciiTheme="minorHAnsi" w:hAnsiTheme="minorHAnsi" w:cstheme="minorHAnsi"/>
          <w:sz w:val="22"/>
          <w:szCs w:val="22"/>
        </w:rPr>
        <w:t xml:space="preserve"> The THLB age class distribution skews towards younger age classes in interior BEC zones, and towards older age classes in coastal zones.</w:t>
      </w:r>
    </w:p>
    <w:p w14:paraId="146AEB4B" w14:textId="77777777" w:rsidR="003D231C" w:rsidRDefault="003D231C" w:rsidP="00D6612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4D15A82" w14:textId="77777777" w:rsidR="003D231C" w:rsidRPr="00F047AD" w:rsidRDefault="00F14411" w:rsidP="00D6612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en-CA"/>
        </w:rPr>
        <w:drawing>
          <wp:inline distT="0" distB="0" distL="0" distR="0" wp14:anchorId="5534ABAA" wp14:editId="60AA8840">
            <wp:extent cx="2717800" cy="118264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18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5743">
        <w:rPr>
          <w:noProof/>
          <w:lang w:eastAsia="en-CA"/>
        </w:rPr>
        <w:drawing>
          <wp:inline distT="0" distB="0" distL="0" distR="0" wp14:anchorId="0939E3E2" wp14:editId="0CE80668">
            <wp:extent cx="3217333" cy="1858904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29930" cy="186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A2B41" w14:textId="77777777" w:rsidR="003F560D" w:rsidRPr="003F560D" w:rsidRDefault="003F560D" w:rsidP="003F560D">
      <w:pPr>
        <w:pStyle w:val="NormalWeb"/>
        <w:spacing w:before="0" w:beforeAutospacing="0" w:after="12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5AA4A63" w14:textId="77777777" w:rsidR="003F560D" w:rsidRDefault="003F560D"/>
    <w:sectPr w:rsidR="003F56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C0A0A"/>
    <w:multiLevelType w:val="hybridMultilevel"/>
    <w:tmpl w:val="347E350E"/>
    <w:lvl w:ilvl="0" w:tplc="F44EFFA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60D"/>
    <w:rsid w:val="003D231C"/>
    <w:rsid w:val="003F560D"/>
    <w:rsid w:val="00482177"/>
    <w:rsid w:val="006F4CB1"/>
    <w:rsid w:val="00796CFC"/>
    <w:rsid w:val="00977D5D"/>
    <w:rsid w:val="00B11D37"/>
    <w:rsid w:val="00B84D67"/>
    <w:rsid w:val="00CA244C"/>
    <w:rsid w:val="00D43F6D"/>
    <w:rsid w:val="00D66123"/>
    <w:rsid w:val="00E0363D"/>
    <w:rsid w:val="00E35743"/>
    <w:rsid w:val="00E456B8"/>
    <w:rsid w:val="00E63824"/>
    <w:rsid w:val="00E75CF4"/>
    <w:rsid w:val="00F047AD"/>
    <w:rsid w:val="00F1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A8E40"/>
  <w15:docId w15:val="{FC42FC1B-CD01-4CC8-B293-0A12431E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60D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560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560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 w:cstheme="majorBidi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F560D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F560D"/>
    <w:pPr>
      <w:numPr>
        <w:ilvl w:val="5"/>
        <w:numId w:val="1"/>
      </w:numPr>
      <w:spacing w:before="240" w:after="60" w:line="240" w:lineRule="auto"/>
      <w:outlineLvl w:val="5"/>
    </w:pPr>
    <w:rPr>
      <w:rFonts w:eastAsiaTheme="minorEastAsia" w:cstheme="majorBidi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F560D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 w:cstheme="majorBidi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F560D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 w:cstheme="majorBidi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F560D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60D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F560D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3F560D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3F560D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3F560D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3F560D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3F560D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3F560D"/>
    <w:rPr>
      <w:rFonts w:asciiTheme="majorHAnsi" w:eastAsiaTheme="majorEastAsia" w:hAnsiTheme="majorHAnsi" w:cstheme="majorBidi"/>
      <w:lang w:val="en-US" w:bidi="en-US"/>
    </w:rPr>
  </w:style>
  <w:style w:type="paragraph" w:styleId="NormalWeb">
    <w:name w:val="Normal (Web)"/>
    <w:basedOn w:val="Normal"/>
    <w:uiPriority w:val="99"/>
    <w:unhideWhenUsed/>
    <w:rsid w:val="003F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D66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9</cp:revision>
  <dcterms:created xsi:type="dcterms:W3CDTF">2015-03-16T18:40:00Z</dcterms:created>
  <dcterms:modified xsi:type="dcterms:W3CDTF">2022-02-03T21:46:00Z</dcterms:modified>
</cp:coreProperties>
</file>